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3E" w:rsidRPr="0092613E" w:rsidRDefault="0092613E" w:rsidP="0092613E">
      <w:pPr>
        <w:widowControl/>
        <w:shd w:val="clear" w:color="auto" w:fill="FFFFFF"/>
        <w:spacing w:after="210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bookmarkStart w:id="0" w:name="_GoBack"/>
      <w:r w:rsidRPr="0092613E">
        <w:rPr>
          <w:rFonts w:ascii="Microsoft YaHei UI" w:eastAsia="Microsoft YaHei UI" w:hAnsi="Microsoft YaHei UI" w:cs="Calibri" w:hint="eastAsia"/>
          <w:b/>
          <w:bCs/>
          <w:color w:val="333333"/>
          <w:spacing w:val="15"/>
          <w:kern w:val="0"/>
          <w:sz w:val="33"/>
          <w:szCs w:val="33"/>
        </w:rPr>
        <w:t>国家级一流课程评审指标</w:t>
      </w:r>
    </w:p>
    <w:bookmarkEnd w:id="0"/>
    <w:p w:rsidR="0092613E" w:rsidRPr="0092613E" w:rsidRDefault="0092613E" w:rsidP="0092613E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92613E">
        <w:rPr>
          <w:rFonts w:ascii="仿宋_GB2312" w:eastAsia="仿宋_GB2312" w:hAnsi="Calibri" w:cs="Calibri" w:hint="eastAsia"/>
          <w:b/>
          <w:bCs/>
          <w:color w:val="333333"/>
          <w:kern w:val="0"/>
          <w:sz w:val="30"/>
          <w:szCs w:val="30"/>
        </w:rPr>
        <w:t>一、线上一流课程评审指标</w:t>
      </w:r>
    </w:p>
    <w:p w:rsidR="0092613E" w:rsidRPr="0092613E" w:rsidRDefault="0092613E" w:rsidP="0092613E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92613E">
        <w:rPr>
          <w:rFonts w:ascii="仿宋_GB2312" w:eastAsia="仿宋_GB2312" w:hAnsi="Calibri" w:cs="Calibri" w:hint="eastAsia"/>
          <w:b/>
          <w:bCs/>
          <w:color w:val="333333"/>
          <w:spacing w:val="15"/>
          <w:kern w:val="0"/>
          <w:sz w:val="24"/>
          <w:szCs w:val="24"/>
        </w:rPr>
        <w:t>1否决性指标</w:t>
      </w:r>
    </w:p>
    <w:tbl>
      <w:tblPr>
        <w:tblW w:w="828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3915"/>
      </w:tblGrid>
      <w:tr w:rsidR="0092613E" w:rsidRPr="0092613E" w:rsidTr="0092613E">
        <w:trPr>
          <w:trHeight w:val="315"/>
          <w:jc w:val="center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2613E" w:rsidRPr="0092613E" w:rsidRDefault="0092613E" w:rsidP="0092613E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b/>
                <w:bCs/>
                <w:color w:val="333333"/>
                <w:kern w:val="0"/>
                <w:szCs w:val="21"/>
              </w:rPr>
              <w:t>项</w:t>
            </w:r>
          </w:p>
        </w:tc>
        <w:tc>
          <w:tcPr>
            <w:tcW w:w="3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2613E" w:rsidRPr="0092613E" w:rsidRDefault="0092613E" w:rsidP="0092613E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b/>
                <w:bCs/>
                <w:color w:val="333333"/>
                <w:kern w:val="0"/>
                <w:szCs w:val="21"/>
              </w:rPr>
              <w:t>细则</w:t>
            </w:r>
          </w:p>
        </w:tc>
      </w:tr>
      <w:tr w:rsidR="0092613E" w:rsidRPr="0092613E" w:rsidTr="0092613E">
        <w:trPr>
          <w:trHeight w:val="945"/>
          <w:jc w:val="center"/>
        </w:trPr>
        <w:tc>
          <w:tcPr>
            <w:tcW w:w="4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</w:rPr>
              <w:t>平台资格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2613E" w:rsidRPr="0092613E" w:rsidRDefault="0092613E" w:rsidP="0092613E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</w:rPr>
              <w:t>1、无工信部ICP网站备案、无公安机关网站备案号、无信息安全二级以上等级保护证书</w:t>
            </w:r>
          </w:p>
          <w:p w:rsidR="0092613E" w:rsidRPr="0092613E" w:rsidRDefault="0092613E" w:rsidP="0092613E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</w:rPr>
              <w:t>2、非面向社会或高校开放平台</w:t>
            </w:r>
          </w:p>
        </w:tc>
      </w:tr>
      <w:tr w:rsidR="0092613E" w:rsidRPr="0092613E" w:rsidTr="0092613E">
        <w:trPr>
          <w:trHeight w:val="2835"/>
          <w:jc w:val="center"/>
        </w:trPr>
        <w:tc>
          <w:tcPr>
            <w:tcW w:w="4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</w:rPr>
              <w:t>课程资格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2613E" w:rsidRPr="0092613E" w:rsidRDefault="0092613E" w:rsidP="0092613E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</w:rPr>
              <w:t>1、申报材料不齐备</w:t>
            </w:r>
          </w:p>
          <w:p w:rsidR="0092613E" w:rsidRPr="0092613E" w:rsidRDefault="0092613E" w:rsidP="0092613E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</w:rPr>
              <w:t>2、课程无法登录或无法打开</w:t>
            </w:r>
          </w:p>
          <w:p w:rsidR="0092613E" w:rsidRPr="0092613E" w:rsidRDefault="0092613E" w:rsidP="0092613E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</w:rPr>
              <w:t>3、无法显示完整内容和教学活动</w:t>
            </w:r>
          </w:p>
          <w:p w:rsidR="0092613E" w:rsidRPr="0092613E" w:rsidRDefault="0092613E" w:rsidP="0092613E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</w:rPr>
              <w:t>4、</w:t>
            </w:r>
            <w:proofErr w:type="gramStart"/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</w:rPr>
              <w:t>非慕课</w:t>
            </w:r>
            <w:proofErr w:type="gramEnd"/>
          </w:p>
          <w:p w:rsidR="0092613E" w:rsidRPr="0092613E" w:rsidRDefault="0092613E" w:rsidP="0092613E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</w:rPr>
              <w:t>5、非本科/高职/专科教育课程</w:t>
            </w:r>
          </w:p>
          <w:p w:rsidR="0092613E" w:rsidRPr="0092613E" w:rsidRDefault="0092613E" w:rsidP="0092613E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</w:rPr>
              <w:t>6、开设时间或期数不符合申报要求</w:t>
            </w:r>
          </w:p>
          <w:p w:rsidR="0092613E" w:rsidRPr="0092613E" w:rsidRDefault="0092613E" w:rsidP="0092613E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</w:rPr>
              <w:t>7、教师无在线教学服务</w:t>
            </w:r>
          </w:p>
          <w:p w:rsidR="0092613E" w:rsidRPr="0092613E" w:rsidRDefault="0092613E" w:rsidP="0092613E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</w:rPr>
              <w:t>8、负责人非申报高校正式聘任教师</w:t>
            </w:r>
          </w:p>
          <w:p w:rsidR="0092613E" w:rsidRPr="0092613E" w:rsidRDefault="0092613E" w:rsidP="0092613E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</w:rPr>
              <w:t>9、存在思想性或较严重的科学性问题</w:t>
            </w:r>
          </w:p>
        </w:tc>
      </w:tr>
      <w:tr w:rsidR="0092613E" w:rsidRPr="0092613E" w:rsidTr="0092613E">
        <w:trPr>
          <w:trHeight w:val="645"/>
          <w:jc w:val="center"/>
        </w:trPr>
        <w:tc>
          <w:tcPr>
            <w:tcW w:w="4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</w:rPr>
              <w:t>造假、侵权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2613E" w:rsidRPr="0092613E" w:rsidRDefault="0092613E" w:rsidP="0092613E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</w:rPr>
              <w:t>1、材料、数据造假</w:t>
            </w:r>
          </w:p>
          <w:p w:rsidR="0092613E" w:rsidRPr="0092613E" w:rsidRDefault="0092613E" w:rsidP="0092613E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</w:rPr>
              <w:t>2、发现且确认有侵权现象</w:t>
            </w:r>
          </w:p>
        </w:tc>
      </w:tr>
      <w:tr w:rsidR="0092613E" w:rsidRPr="0092613E" w:rsidTr="0092613E">
        <w:trPr>
          <w:trHeight w:val="315"/>
          <w:jc w:val="center"/>
        </w:trPr>
        <w:tc>
          <w:tcPr>
            <w:tcW w:w="4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</w:rPr>
              <w:t>不适合网络传播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2613E" w:rsidRPr="0092613E" w:rsidRDefault="0092613E" w:rsidP="0092613E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</w:rPr>
              <w:t>课程内容不适合网络公开传播</w:t>
            </w:r>
          </w:p>
        </w:tc>
      </w:tr>
    </w:tbl>
    <w:p w:rsidR="0092613E" w:rsidRPr="0092613E" w:rsidRDefault="0092613E" w:rsidP="0092613E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92613E">
        <w:rPr>
          <w:rFonts w:ascii="仿宋_GB2312" w:eastAsia="仿宋_GB2312" w:hAnsi="Calibri" w:cs="Calibri" w:hint="eastAsia"/>
          <w:b/>
          <w:bCs/>
          <w:color w:val="333333"/>
          <w:spacing w:val="15"/>
          <w:kern w:val="0"/>
          <w:sz w:val="24"/>
          <w:szCs w:val="24"/>
        </w:rPr>
        <w:t>2评审指标细则</w:t>
      </w:r>
    </w:p>
    <w:tbl>
      <w:tblPr>
        <w:tblW w:w="835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765"/>
        <w:gridCol w:w="5940"/>
        <w:gridCol w:w="765"/>
      </w:tblGrid>
      <w:tr w:rsidR="0092613E" w:rsidRPr="0092613E" w:rsidTr="0092613E">
        <w:trPr>
          <w:trHeight w:val="150"/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wordWrap w:val="0"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b/>
                <w:bCs/>
                <w:color w:val="333333"/>
                <w:kern w:val="0"/>
                <w:szCs w:val="21"/>
              </w:rPr>
              <w:t>一级</w:t>
            </w:r>
          </w:p>
          <w:p w:rsidR="0092613E" w:rsidRPr="0092613E" w:rsidRDefault="0092613E" w:rsidP="0092613E">
            <w:pPr>
              <w:widowControl/>
              <w:wordWrap w:val="0"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b/>
                <w:bCs/>
                <w:color w:val="333333"/>
                <w:kern w:val="0"/>
                <w:szCs w:val="21"/>
              </w:rPr>
              <w:t>指标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wordWrap w:val="0"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b/>
                <w:bCs/>
                <w:color w:val="333333"/>
                <w:kern w:val="0"/>
                <w:szCs w:val="21"/>
              </w:rPr>
              <w:t>二级指标</w:t>
            </w:r>
          </w:p>
        </w:tc>
        <w:tc>
          <w:tcPr>
            <w:tcW w:w="59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wordWrap w:val="0"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b/>
                <w:bCs/>
                <w:color w:val="333333"/>
                <w:kern w:val="0"/>
                <w:szCs w:val="21"/>
              </w:rPr>
              <w:t>观测点及描述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wordWrap w:val="0"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b/>
                <w:bCs/>
                <w:color w:val="333333"/>
                <w:kern w:val="0"/>
                <w:szCs w:val="21"/>
              </w:rPr>
              <w:t>分数</w:t>
            </w:r>
          </w:p>
        </w:tc>
      </w:tr>
      <w:tr w:rsidR="0092613E" w:rsidRPr="0092613E" w:rsidTr="0092613E">
        <w:trPr>
          <w:trHeight w:val="150"/>
          <w:jc w:val="center"/>
        </w:trPr>
        <w:tc>
          <w:tcPr>
            <w:tcW w:w="88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wordWrap w:val="0"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</w:rPr>
              <w:t>一、课程内容</w:t>
            </w:r>
            <w:r w:rsidRPr="0092613E">
              <w:rPr>
                <w:rFonts w:ascii="微软雅黑" w:eastAsia="微软雅黑" w:hAnsi="微软雅黑" w:cs="Calibri" w:hint="eastAsia"/>
                <w:color w:val="333333"/>
                <w:kern w:val="0"/>
                <w:szCs w:val="21"/>
              </w:rPr>
              <w:t> </w:t>
            </w: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</w:rPr>
              <w:t>20分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wordWrap w:val="0"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</w:rPr>
              <w:t>1-1规范性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2613E" w:rsidRPr="0092613E" w:rsidRDefault="0092613E" w:rsidP="0092613E">
            <w:pPr>
              <w:widowControl/>
              <w:spacing w:line="150" w:lineRule="atLeas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课程内容为高校教学内容，符合《普通高等学校本科专业类教学质量国家标准》等要求，课程定位准确，教学内容质量高；课程知识体系科学完整。（若课程内容不规范，不适合列入高校人才培养方案的，此项为0分。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wordWrap w:val="0"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</w:rPr>
              <w:t>5分</w:t>
            </w:r>
          </w:p>
        </w:tc>
      </w:tr>
      <w:tr w:rsidR="0092613E" w:rsidRPr="0092613E" w:rsidTr="0092613E">
        <w:trPr>
          <w:trHeight w:val="1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wordWrap w:val="0"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</w:rPr>
              <w:t>1-2思想性、科学性、先进性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2613E" w:rsidRPr="0092613E" w:rsidRDefault="0092613E" w:rsidP="0092613E">
            <w:pPr>
              <w:widowControl/>
              <w:spacing w:line="150" w:lineRule="atLeas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坚持立德树人，将思想政治教育内化为课程内容，弘扬社会主义核心价值观；课程内容先进、新颖，反映学科专业先进的核心理论和成果，体现教改教研成果，具有较高的科学性水平，注重运用知识解决实际问题。（若存在思想性或较严重的科学性问题，此项为0分，请在否决性指标11中勾选，直接提交，结束评审此课程为0分。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wordWrap w:val="0"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</w:rPr>
              <w:t>5分</w:t>
            </w:r>
          </w:p>
        </w:tc>
      </w:tr>
      <w:tr w:rsidR="0092613E" w:rsidRPr="0092613E" w:rsidTr="0092613E">
        <w:trPr>
          <w:trHeight w:val="1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wordWrap w:val="0"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</w:rPr>
              <w:t>1-3</w:t>
            </w: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</w:rPr>
              <w:t> </w:t>
            </w: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</w:rPr>
              <w:t>安全性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2613E" w:rsidRPr="0092613E" w:rsidRDefault="0092613E" w:rsidP="0092613E">
            <w:pPr>
              <w:widowControl/>
              <w:spacing w:line="150" w:lineRule="atLeas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课程无危害国家安全、涉密及其他不适宜网络公开传播的内容，无侵犯他人知识产权内容。(若存在有不适合公开的课程内容或有确凿证据证明有侵权情况，此项为0分，请在否决性指标13（14）中勾选，直接提交，结束评审，此课程为0分。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wordWrap w:val="0"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</w:rPr>
              <w:t>5分</w:t>
            </w:r>
          </w:p>
        </w:tc>
      </w:tr>
      <w:tr w:rsidR="0092613E" w:rsidRPr="0092613E" w:rsidTr="0092613E">
        <w:trPr>
          <w:trHeight w:val="1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wordWrap w:val="0"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</w:rPr>
              <w:t>1-4</w:t>
            </w: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</w:rPr>
              <w:t> </w:t>
            </w: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</w:rPr>
              <w:t>适当性、多样性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2613E" w:rsidRPr="0092613E" w:rsidRDefault="0092613E" w:rsidP="0092613E">
            <w:pPr>
              <w:widowControl/>
              <w:spacing w:line="150" w:lineRule="atLeas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课程内容及教学环节配置丰富、多样，深浅度合理，内容更新和完善及时。在线考试难易度适当，有区分度。(</w:t>
            </w:r>
            <w:proofErr w:type="gramStart"/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若学</w:t>
            </w:r>
            <w:proofErr w:type="gramEnd"/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分课程的内容过于浅显，或考核评判标准过低，此 项为0分。）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wordWrap w:val="0"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</w:rPr>
              <w:t>5分</w:t>
            </w:r>
          </w:p>
        </w:tc>
      </w:tr>
      <w:tr w:rsidR="0092613E" w:rsidRPr="0092613E" w:rsidTr="0092613E">
        <w:trPr>
          <w:trHeight w:val="360"/>
          <w:jc w:val="center"/>
        </w:trPr>
        <w:tc>
          <w:tcPr>
            <w:tcW w:w="88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wordWrap w:val="0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</w:rPr>
              <w:lastRenderedPageBreak/>
              <w:t>二、课程教学设计25分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wordWrap w:val="0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</w:rPr>
              <w:t>2-1合理性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2613E" w:rsidRPr="0092613E" w:rsidRDefault="0092613E" w:rsidP="0092613E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教学目标明确，教学方法与教学活动组织科学合理，符合教育教学规律。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wordWrap w:val="0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</w:rPr>
              <w:t>5分</w:t>
            </w:r>
          </w:p>
        </w:tc>
      </w:tr>
      <w:tr w:rsidR="0092613E" w:rsidRPr="0092613E" w:rsidTr="0092613E">
        <w:trPr>
          <w:trHeight w:val="1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wordWrap w:val="0"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</w:rPr>
              <w:t>2-2方向性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2613E" w:rsidRPr="0092613E" w:rsidRDefault="0092613E" w:rsidP="0092613E">
            <w:pPr>
              <w:widowControl/>
              <w:spacing w:line="150" w:lineRule="atLeas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 xml:space="preserve">符合以学生为中心的课程教学改革方向，注重激发学生学习志趣和潜能，增强学生的社会责任感、创新精神和实践能力；信息技术与教育教学融合，课程应用与课程服务相融通， 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 </w:t>
            </w:r>
            <w:r w:rsidRPr="0092613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 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适合在线学习、翻转课堂以及线上线下混合式拓展性学习。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wordWrap w:val="0"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</w:rPr>
              <w:t>10分</w:t>
            </w:r>
          </w:p>
        </w:tc>
      </w:tr>
      <w:tr w:rsidR="0092613E" w:rsidRPr="0092613E" w:rsidTr="0092613E">
        <w:trPr>
          <w:trHeight w:val="1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wordWrap w:val="0"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</w:rPr>
              <w:t>2-3创新性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2613E" w:rsidRPr="0092613E" w:rsidRDefault="0092613E" w:rsidP="0092613E">
            <w:pPr>
              <w:widowControl/>
              <w:spacing w:line="150" w:lineRule="atLeas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有针对性地解决当前教育教学中存在的问题，充分利用和发挥网络教学优势，各教学环节充分、有效，满足学生的在线学习的诉求，不是传统课堂的简单翻版。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wordWrap w:val="0"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</w:rPr>
              <w:t>10分</w:t>
            </w:r>
          </w:p>
        </w:tc>
      </w:tr>
      <w:tr w:rsidR="0092613E" w:rsidRPr="0092613E" w:rsidTr="0092613E">
        <w:trPr>
          <w:trHeight w:val="150"/>
          <w:jc w:val="center"/>
        </w:trPr>
        <w:tc>
          <w:tcPr>
            <w:tcW w:w="88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2613E" w:rsidRPr="0092613E" w:rsidRDefault="0092613E" w:rsidP="0092613E">
            <w:pPr>
              <w:widowControl/>
              <w:wordWrap w:val="0"/>
              <w:spacing w:line="150" w:lineRule="atLeas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</w:rPr>
              <w:t>三、课程团队</w:t>
            </w:r>
            <w:r w:rsidRPr="0092613E">
              <w:rPr>
                <w:rFonts w:ascii="微软雅黑" w:eastAsia="微软雅黑" w:hAnsi="微软雅黑" w:cs="Calibri" w:hint="eastAsia"/>
                <w:color w:val="333333"/>
                <w:kern w:val="0"/>
                <w:szCs w:val="21"/>
              </w:rPr>
              <w:t> </w:t>
            </w: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</w:rPr>
              <w:t>10分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3-1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 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2613E" w:rsidRPr="0092613E" w:rsidRDefault="0092613E" w:rsidP="0092613E">
            <w:pPr>
              <w:widowControl/>
              <w:spacing w:line="150" w:lineRule="atLeas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在本课程专业领域有较高学术造诣，教学经验丰富，教学水平高，在推进</w:t>
            </w:r>
            <w:proofErr w:type="gramStart"/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基于慕课的</w:t>
            </w:r>
            <w:proofErr w:type="gramEnd"/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信息技术与教育教学深度融合的课程改革中投入精力大，有一定影响度。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wordWrap w:val="0"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</w:rPr>
              <w:t>5分</w:t>
            </w:r>
          </w:p>
        </w:tc>
      </w:tr>
      <w:tr w:rsidR="0092613E" w:rsidRPr="0092613E" w:rsidTr="0092613E">
        <w:trPr>
          <w:trHeight w:val="1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3-2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 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团队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2613E" w:rsidRPr="0092613E" w:rsidRDefault="0092613E" w:rsidP="0092613E">
            <w:pPr>
              <w:widowControl/>
              <w:spacing w:line="150" w:lineRule="atLeas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 xml:space="preserve">主讲教师师德好、教学能力强，教学表现力强，课程团 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 </w:t>
            </w:r>
            <w:proofErr w:type="gramStart"/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队结构</w:t>
            </w:r>
            <w:proofErr w:type="gramEnd"/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合理。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wordWrap w:val="0"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</w:rPr>
              <w:t>5分</w:t>
            </w:r>
          </w:p>
        </w:tc>
      </w:tr>
      <w:tr w:rsidR="0092613E" w:rsidRPr="0092613E" w:rsidTr="0092613E">
        <w:trPr>
          <w:trHeight w:val="150"/>
          <w:jc w:val="center"/>
        </w:trPr>
        <w:tc>
          <w:tcPr>
            <w:tcW w:w="88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四、教学支持</w:t>
            </w:r>
          </w:p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20分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4-1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 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团队服务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通过课程平台，教师按照教学计划和要求为学习者提供测验、作业、考试、答疑、讨论等教学活动，及时开展 有效的在线指导与测评。（若教学团队成员未参与学习者答疑、讨论等教学活动，此项为0分。）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wordWrap w:val="0"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</w:rPr>
              <w:t>10分</w:t>
            </w:r>
          </w:p>
        </w:tc>
      </w:tr>
      <w:tr w:rsidR="0092613E" w:rsidRPr="0092613E" w:rsidTr="0092613E">
        <w:trPr>
          <w:trHeight w:val="1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4-2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 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学习者活动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学习者在线学习响应度高，师生互动活跃。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wordWrap w:val="0"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</w:rPr>
              <w:t>10分</w:t>
            </w:r>
          </w:p>
        </w:tc>
      </w:tr>
      <w:tr w:rsidR="0092613E" w:rsidRPr="0092613E" w:rsidTr="0092613E">
        <w:trPr>
          <w:trHeight w:val="150"/>
          <w:jc w:val="center"/>
        </w:trPr>
        <w:tc>
          <w:tcPr>
            <w:tcW w:w="88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五、应用效果与</w:t>
            </w:r>
          </w:p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影响</w:t>
            </w:r>
            <w:r w:rsidRPr="0092613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 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25分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5-1开放性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面向其他高校和社会学习者开放学习程度高。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wordWrap w:val="0"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</w:rPr>
              <w:t>5分</w:t>
            </w:r>
          </w:p>
        </w:tc>
      </w:tr>
      <w:tr w:rsidR="0092613E" w:rsidRPr="0092613E" w:rsidTr="0092613E">
        <w:trPr>
          <w:trHeight w:val="1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5-2课程本校应用情况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在本校将在线课程与课堂教学结合，推动教</w:t>
            </w:r>
          </w:p>
          <w:p w:rsidR="0092613E" w:rsidRPr="0092613E" w:rsidRDefault="0092613E" w:rsidP="0092613E">
            <w:pPr>
              <w:widowControl/>
              <w:spacing w:line="1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学方法改革，有效提高教学质量。（若未应 用于本校课程改革，此项为0分。）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wordWrap w:val="0"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</w:rPr>
              <w:t>5分</w:t>
            </w:r>
          </w:p>
        </w:tc>
      </w:tr>
      <w:tr w:rsidR="0092613E" w:rsidRPr="0092613E" w:rsidTr="0092613E">
        <w:trPr>
          <w:trHeight w:val="1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5-3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 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在其他高校和社会学习者中应用共享情况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共享范围广，应用模式多样，应用效果好，社</w:t>
            </w:r>
          </w:p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会影响力大，受益教师和学习者反馈、评价高。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wordWrap w:val="0"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</w:rPr>
              <w:t>15分</w:t>
            </w:r>
          </w:p>
        </w:tc>
      </w:tr>
    </w:tbl>
    <w:p w:rsidR="0092613E" w:rsidRDefault="0092613E" w:rsidP="0092613E">
      <w:pPr>
        <w:widowControl/>
        <w:shd w:val="clear" w:color="auto" w:fill="FFFFFF"/>
        <w:jc w:val="left"/>
        <w:rPr>
          <w:rFonts w:ascii="仿宋_GB2312" w:eastAsia="仿宋_GB2312" w:hAnsi="Calibri" w:cs="Calibri" w:hint="eastAsia"/>
          <w:b/>
          <w:bCs/>
          <w:color w:val="333333"/>
          <w:kern w:val="0"/>
          <w:sz w:val="30"/>
          <w:szCs w:val="30"/>
        </w:rPr>
      </w:pPr>
    </w:p>
    <w:p w:rsidR="0092613E" w:rsidRDefault="0092613E" w:rsidP="0092613E">
      <w:pPr>
        <w:widowControl/>
        <w:shd w:val="clear" w:color="auto" w:fill="FFFFFF"/>
        <w:jc w:val="left"/>
        <w:rPr>
          <w:rFonts w:ascii="仿宋_GB2312" w:eastAsia="仿宋_GB2312" w:hAnsi="Calibri" w:cs="Calibri" w:hint="eastAsia"/>
          <w:b/>
          <w:bCs/>
          <w:color w:val="333333"/>
          <w:kern w:val="0"/>
          <w:sz w:val="30"/>
          <w:szCs w:val="30"/>
        </w:rPr>
      </w:pPr>
    </w:p>
    <w:p w:rsidR="0092613E" w:rsidRPr="0092613E" w:rsidRDefault="0092613E" w:rsidP="0092613E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92613E">
        <w:rPr>
          <w:rFonts w:ascii="仿宋_GB2312" w:eastAsia="仿宋_GB2312" w:hAnsi="Calibri" w:cs="Calibri" w:hint="eastAsia"/>
          <w:b/>
          <w:bCs/>
          <w:color w:val="333333"/>
          <w:kern w:val="0"/>
          <w:sz w:val="30"/>
          <w:szCs w:val="30"/>
        </w:rPr>
        <w:t>二、线下一流课程评审指标</w:t>
      </w:r>
    </w:p>
    <w:p w:rsidR="0092613E" w:rsidRPr="0092613E" w:rsidRDefault="0092613E" w:rsidP="0092613E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92613E">
        <w:rPr>
          <w:rFonts w:ascii="仿宋_GB2312" w:eastAsia="仿宋_GB2312" w:hAnsi="Calibri" w:cs="Calibri" w:hint="eastAsia"/>
          <w:b/>
          <w:bCs/>
          <w:color w:val="333333"/>
          <w:spacing w:val="15"/>
          <w:kern w:val="0"/>
          <w:sz w:val="24"/>
          <w:szCs w:val="24"/>
        </w:rPr>
        <w:lastRenderedPageBreak/>
        <w:t>1否决性指标</w:t>
      </w:r>
    </w:p>
    <w:tbl>
      <w:tblPr>
        <w:tblW w:w="838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7170"/>
      </w:tblGrid>
      <w:tr w:rsidR="0092613E" w:rsidRPr="0092613E" w:rsidTr="0092613E">
        <w:trPr>
          <w:trHeight w:val="330"/>
          <w:jc w:val="center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7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细则</w:t>
            </w:r>
          </w:p>
        </w:tc>
      </w:tr>
      <w:tr w:rsidR="0092613E" w:rsidRPr="0092613E" w:rsidTr="0092613E">
        <w:trPr>
          <w:trHeight w:val="1245"/>
          <w:jc w:val="center"/>
        </w:trPr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课程资质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 xml:space="preserve">1、非本科学分课程 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 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查看教务系统提供的截图</w:t>
            </w:r>
          </w:p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 xml:space="preserve">2、开设时间或期数不符合申报要求 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 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申报截止日期前未完成至少两个完整的教 学学期或周期（查教务系统截图）</w:t>
            </w:r>
          </w:p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 xml:space="preserve">3、课程基本信息有明显不一致 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 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重点对比与教务系统截</w:t>
            </w:r>
            <w:proofErr w:type="gramStart"/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图是否</w:t>
            </w:r>
            <w:proofErr w:type="gramEnd"/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一致：课程名称、授课教师、学时，查看有关说明材料。</w:t>
            </w:r>
          </w:p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 xml:space="preserve">4、申报材料不齐备，缺少必须提供的关键材料 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 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查看是否缺少申报书中的“七、 附件材料清单中的1-5项”的某项材料。</w:t>
            </w:r>
          </w:p>
        </w:tc>
      </w:tr>
      <w:tr w:rsidR="0092613E" w:rsidRPr="0092613E" w:rsidTr="0092613E">
        <w:trPr>
          <w:trHeight w:val="630"/>
          <w:jc w:val="center"/>
        </w:trPr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教师资格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1、负责人非申报高校正式聘任教师查看“二、课程团队序号1的成员”及其他申报材料</w:t>
            </w:r>
          </w:p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 xml:space="preserve">2、团队成员存在师德师风方面问题 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 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 xml:space="preserve">查看“十、学校政治审查意见”，根据专 </w:t>
            </w:r>
            <w:proofErr w:type="gramStart"/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家掌握</w:t>
            </w:r>
            <w:proofErr w:type="gramEnd"/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的信息</w:t>
            </w:r>
          </w:p>
        </w:tc>
      </w:tr>
      <w:tr w:rsidR="0092613E" w:rsidRPr="0092613E" w:rsidTr="0092613E">
        <w:trPr>
          <w:trHeight w:val="930"/>
          <w:jc w:val="center"/>
        </w:trPr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课程内容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 xml:space="preserve">1、存在思想性或较严重的科学性问题 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 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专家审查</w:t>
            </w:r>
          </w:p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2、申报材料无法支撑课程内容，教学无法实施专家审查</w:t>
            </w:r>
          </w:p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 xml:space="preserve">3、课程内容涉密 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 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对比提交材料</w:t>
            </w:r>
          </w:p>
        </w:tc>
      </w:tr>
      <w:tr w:rsidR="0092613E" w:rsidRPr="0092613E" w:rsidTr="0092613E">
        <w:trPr>
          <w:trHeight w:val="630"/>
          <w:jc w:val="center"/>
        </w:trPr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造假、侵权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 xml:space="preserve">1、申报材料造假 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 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对比提交材料，或举报属实</w:t>
            </w:r>
          </w:p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2、发现且确认有侵权现象对比提交材料，或举报属实</w:t>
            </w:r>
          </w:p>
        </w:tc>
      </w:tr>
      <w:tr w:rsidR="0092613E" w:rsidRPr="0092613E" w:rsidTr="0092613E">
        <w:trPr>
          <w:trHeight w:val="630"/>
          <w:jc w:val="center"/>
        </w:trPr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  <w:shd w:val="clear" w:color="auto" w:fill="FFFFFF"/>
              </w:rPr>
              <w:t>课程资质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613E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1、非本科学分课程 查看教务系统提供的截图</w:t>
            </w:r>
          </w:p>
          <w:p w:rsidR="0092613E" w:rsidRPr="0092613E" w:rsidRDefault="0092613E" w:rsidP="0092613E">
            <w:pPr>
              <w:widowControl/>
              <w:shd w:val="clear" w:color="auto" w:fill="FFFFFF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2613E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2、开设时间或期数不符合申报要求 申报截止日期前未完成至少两个完整的教 </w:t>
            </w:r>
            <w:r w:rsidRPr="0092613E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 </w:t>
            </w:r>
            <w:r w:rsidRPr="0092613E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学学期或周期（查教务系统截图）</w:t>
            </w:r>
          </w:p>
          <w:p w:rsidR="0092613E" w:rsidRPr="0092613E" w:rsidRDefault="0092613E" w:rsidP="0092613E">
            <w:pPr>
              <w:widowControl/>
              <w:shd w:val="clear" w:color="auto" w:fill="FFFFFF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2613E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3、课程基本信息有明显不一致 重点对比与教务系统截</w:t>
            </w:r>
            <w:proofErr w:type="gramStart"/>
            <w:r w:rsidRPr="0092613E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图是否</w:t>
            </w:r>
            <w:proofErr w:type="gramEnd"/>
            <w:r w:rsidRPr="0092613E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一致：课程名称、授课教师、学时，查看有关说明材料。</w:t>
            </w:r>
          </w:p>
          <w:p w:rsidR="0092613E" w:rsidRPr="0092613E" w:rsidRDefault="0092613E" w:rsidP="0092613E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613E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4、申报材料不齐备，缺少必须提供的关键材料 </w:t>
            </w:r>
            <w:r w:rsidRPr="0092613E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 </w:t>
            </w:r>
            <w:r w:rsidRPr="0092613E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查看是否缺少申报书中的“七、 附件材料清单中的1-5项”的某项材料。</w:t>
            </w:r>
          </w:p>
        </w:tc>
      </w:tr>
      <w:tr w:rsidR="0092613E" w:rsidRPr="0092613E" w:rsidTr="0092613E">
        <w:trPr>
          <w:trHeight w:val="630"/>
          <w:jc w:val="center"/>
        </w:trPr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  <w:shd w:val="clear" w:color="auto" w:fill="FFFFFF"/>
              </w:rPr>
              <w:t>教师资格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613E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1、负责人非申报高校正式聘任教师查看“二、课程团队序号1的成员”及其他申报材料</w:t>
            </w:r>
          </w:p>
          <w:p w:rsidR="0092613E" w:rsidRPr="0092613E" w:rsidRDefault="0092613E" w:rsidP="0092613E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613E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2、团队成员存在师德师风方面问题 查看“十、学校政治审查意见”，根据专 </w:t>
            </w:r>
            <w:r w:rsidRPr="0092613E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 </w:t>
            </w:r>
            <w:proofErr w:type="gramStart"/>
            <w:r w:rsidRPr="0092613E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家掌握</w:t>
            </w:r>
            <w:proofErr w:type="gramEnd"/>
            <w:r w:rsidRPr="0092613E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的信息</w:t>
            </w:r>
          </w:p>
        </w:tc>
      </w:tr>
      <w:tr w:rsidR="0092613E" w:rsidRPr="0092613E" w:rsidTr="0092613E">
        <w:trPr>
          <w:trHeight w:val="630"/>
          <w:jc w:val="center"/>
        </w:trPr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  <w:shd w:val="clear" w:color="auto" w:fill="FFFFFF"/>
              </w:rPr>
              <w:t>课程内容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613E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1、存在思想性或较严重的科学性问题 </w:t>
            </w:r>
            <w:r w:rsidRPr="0092613E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 </w:t>
            </w:r>
            <w:r w:rsidRPr="0092613E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专家审查</w:t>
            </w:r>
          </w:p>
          <w:p w:rsidR="0092613E" w:rsidRPr="0092613E" w:rsidRDefault="0092613E" w:rsidP="0092613E">
            <w:pPr>
              <w:widowControl/>
              <w:shd w:val="clear" w:color="auto" w:fill="FFFFFF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2613E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2、申报材料无法支撑课程内容，教学无法实施专家审查</w:t>
            </w:r>
          </w:p>
          <w:p w:rsidR="0092613E" w:rsidRPr="0092613E" w:rsidRDefault="0092613E" w:rsidP="0092613E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613E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3、课程内容涉密 对比提交材料</w:t>
            </w:r>
          </w:p>
        </w:tc>
      </w:tr>
      <w:tr w:rsidR="0092613E" w:rsidRPr="0092613E" w:rsidTr="0092613E">
        <w:trPr>
          <w:trHeight w:val="630"/>
          <w:jc w:val="center"/>
        </w:trPr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  <w:shd w:val="clear" w:color="auto" w:fill="FFFFFF"/>
              </w:rPr>
              <w:t>造假、侵权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613E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1、申报材料造假 对比提交材料，或举报属实</w:t>
            </w:r>
          </w:p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</w:rPr>
              <w:t>2、发现且确认有侵权现象对比提交材料，或举报属实</w:t>
            </w:r>
          </w:p>
        </w:tc>
      </w:tr>
      <w:tr w:rsidR="0092613E" w:rsidRPr="0092613E" w:rsidTr="0092613E">
        <w:trPr>
          <w:trHeight w:val="630"/>
          <w:jc w:val="center"/>
        </w:trPr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613E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课程资质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613E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1、非本科学分课程 查看教务系统提供的截图</w:t>
            </w:r>
          </w:p>
          <w:p w:rsidR="0092613E" w:rsidRPr="0092613E" w:rsidRDefault="0092613E" w:rsidP="0092613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2613E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2、开设时间或期数不符合申报要求 申报截止日期前未完成至少两个完整的教 </w:t>
            </w:r>
            <w:r w:rsidRPr="0092613E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 </w:t>
            </w:r>
            <w:r w:rsidRPr="0092613E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学学期或周期（查教务系统截图）</w:t>
            </w:r>
          </w:p>
          <w:p w:rsidR="0092613E" w:rsidRPr="0092613E" w:rsidRDefault="0092613E" w:rsidP="0092613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2613E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3、课程基本信息有明显不一致 重点对比与教务系统截</w:t>
            </w:r>
            <w:proofErr w:type="gramStart"/>
            <w:r w:rsidRPr="0092613E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图是否</w:t>
            </w:r>
            <w:proofErr w:type="gramEnd"/>
            <w:r w:rsidRPr="0092613E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一致：课程名称、授课教师、学时，查看有关说明材料。</w:t>
            </w:r>
          </w:p>
          <w:p w:rsidR="0092613E" w:rsidRPr="0092613E" w:rsidRDefault="0092613E" w:rsidP="0092613E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613E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4、申报材料不齐备，缺少必须提供的关键材料 </w:t>
            </w:r>
            <w:r w:rsidRPr="0092613E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 </w:t>
            </w:r>
            <w:r w:rsidRPr="0092613E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查看是否缺少申报书中的“七、 附件材料清单中的1-5项”的某项材料。</w:t>
            </w:r>
          </w:p>
        </w:tc>
      </w:tr>
      <w:tr w:rsidR="0092613E" w:rsidRPr="0092613E" w:rsidTr="0092613E">
        <w:trPr>
          <w:trHeight w:val="630"/>
          <w:jc w:val="center"/>
        </w:trPr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  <w:shd w:val="clear" w:color="auto" w:fill="FFFFFF"/>
              </w:rPr>
              <w:t>教师资格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613E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1、负责人非申报高校正式聘任教师查看“二、课程团队序号1的成员”及其他申报材料</w:t>
            </w:r>
          </w:p>
          <w:p w:rsidR="0092613E" w:rsidRPr="0092613E" w:rsidRDefault="0092613E" w:rsidP="0092613E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613E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2、团队成员存在师德师风方面问题 查看“十、学校政治审查意见”，根据</w:t>
            </w:r>
            <w:r w:rsidRPr="0092613E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lastRenderedPageBreak/>
              <w:t xml:space="preserve">专 </w:t>
            </w:r>
            <w:r w:rsidRPr="0092613E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 </w:t>
            </w:r>
            <w:proofErr w:type="gramStart"/>
            <w:r w:rsidRPr="0092613E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家掌握</w:t>
            </w:r>
            <w:proofErr w:type="gramEnd"/>
            <w:r w:rsidRPr="0092613E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的信息</w:t>
            </w:r>
          </w:p>
        </w:tc>
      </w:tr>
      <w:tr w:rsidR="0092613E" w:rsidRPr="0092613E" w:rsidTr="0092613E">
        <w:trPr>
          <w:trHeight w:val="630"/>
          <w:jc w:val="center"/>
        </w:trPr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  <w:shd w:val="clear" w:color="auto" w:fill="FFFFFF"/>
              </w:rPr>
              <w:lastRenderedPageBreak/>
              <w:t>课程内容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613E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1、存在思想性或较严重的科学性问题 </w:t>
            </w:r>
            <w:r w:rsidRPr="0092613E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 </w:t>
            </w:r>
            <w:r w:rsidRPr="0092613E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专家审查</w:t>
            </w:r>
          </w:p>
          <w:p w:rsidR="0092613E" w:rsidRPr="0092613E" w:rsidRDefault="0092613E" w:rsidP="0092613E">
            <w:pPr>
              <w:widowControl/>
              <w:shd w:val="clear" w:color="auto" w:fill="FFFFFF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2613E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2、申报材料无法支撑课程内容，教学无法实施专家审查</w:t>
            </w:r>
          </w:p>
          <w:p w:rsidR="0092613E" w:rsidRPr="0092613E" w:rsidRDefault="0092613E" w:rsidP="0092613E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613E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3、课程内容涉密 对比提交材料</w:t>
            </w:r>
          </w:p>
        </w:tc>
      </w:tr>
      <w:tr w:rsidR="0092613E" w:rsidRPr="0092613E" w:rsidTr="0092613E">
        <w:trPr>
          <w:trHeight w:val="630"/>
          <w:jc w:val="center"/>
        </w:trPr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333333"/>
                <w:kern w:val="0"/>
                <w:szCs w:val="21"/>
                <w:shd w:val="clear" w:color="auto" w:fill="FFFFFF"/>
              </w:rPr>
              <w:t>造假、侵权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613E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1、申报材料造假 对比提交材料，或举报属实</w:t>
            </w:r>
          </w:p>
          <w:p w:rsidR="0092613E" w:rsidRPr="0092613E" w:rsidRDefault="0092613E" w:rsidP="0092613E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613E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2、发现且确认有侵权现象对比提交材料，或举报属实</w:t>
            </w:r>
          </w:p>
        </w:tc>
      </w:tr>
    </w:tbl>
    <w:p w:rsidR="0092613E" w:rsidRPr="0092613E" w:rsidRDefault="0092613E" w:rsidP="0092613E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92613E">
        <w:rPr>
          <w:rFonts w:ascii="仿宋_GB2312" w:eastAsia="仿宋_GB2312" w:hAnsi="Calibri" w:cs="Calibri" w:hint="eastAsia"/>
          <w:b/>
          <w:bCs/>
          <w:color w:val="333333"/>
          <w:spacing w:val="15"/>
          <w:kern w:val="0"/>
          <w:sz w:val="24"/>
          <w:szCs w:val="24"/>
        </w:rPr>
        <w:t>2评审指标细则</w:t>
      </w:r>
    </w:p>
    <w:tbl>
      <w:tblPr>
        <w:tblW w:w="838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465"/>
        <w:gridCol w:w="6300"/>
        <w:gridCol w:w="840"/>
      </w:tblGrid>
      <w:tr w:rsidR="0092613E" w:rsidRPr="0092613E" w:rsidTr="0092613E">
        <w:trPr>
          <w:trHeight w:val="1245"/>
          <w:jc w:val="center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一级</w:t>
            </w:r>
          </w:p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4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观测点及描述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分值</w:t>
            </w:r>
          </w:p>
        </w:tc>
      </w:tr>
      <w:tr w:rsidR="0092613E" w:rsidRPr="0092613E" w:rsidTr="0092613E">
        <w:trPr>
          <w:trHeight w:val="375"/>
          <w:jc w:val="center"/>
        </w:trPr>
        <w:tc>
          <w:tcPr>
            <w:tcW w:w="7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一、课程目标符合新时代人才培养要求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 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15分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1-1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符合学校办学定位和人才培养目标，坚持立德树人。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5分</w:t>
            </w:r>
          </w:p>
        </w:tc>
      </w:tr>
      <w:tr w:rsidR="0092613E" w:rsidRPr="0092613E" w:rsidTr="0092613E">
        <w:trPr>
          <w:trHeight w:val="102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1-2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坚持知识、能力、素质有机融合，注重提升课程的高阶性、突出课程 的创新性、增加课程的挑战度，契合学生解决复杂问题等综合能力养 成要求。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5分</w:t>
            </w:r>
          </w:p>
        </w:tc>
      </w:tr>
      <w:tr w:rsidR="0092613E" w:rsidRPr="0092613E" w:rsidTr="0092613E">
        <w:trPr>
          <w:trHeight w:val="1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1-3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目标描述准确具体，对应国家、行业、专业需求，符合培养规律，符合校情、学情，达成路径清晰，便于考核评价。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5分</w:t>
            </w:r>
          </w:p>
        </w:tc>
      </w:tr>
      <w:tr w:rsidR="0092613E" w:rsidRPr="0092613E" w:rsidTr="0092613E">
        <w:trPr>
          <w:trHeight w:val="315"/>
          <w:jc w:val="center"/>
        </w:trPr>
        <w:tc>
          <w:tcPr>
            <w:tcW w:w="7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二、授课教师（团队） 切实投入教学改革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 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15分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2-1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秉持学生中心、产出导向、持续改进的理念。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5分</w:t>
            </w:r>
          </w:p>
        </w:tc>
      </w:tr>
      <w:tr w:rsidR="0092613E" w:rsidRPr="0092613E" w:rsidTr="0092613E">
        <w:trPr>
          <w:trHeight w:val="1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2-2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教学理念融入教学设计，围绕目标达成、教学内容、组织 实施和多元评价需求进行整体规划，教学策略、教学方法 教学过程、教学评价等设计合理。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5分</w:t>
            </w:r>
          </w:p>
        </w:tc>
      </w:tr>
      <w:tr w:rsidR="0092613E" w:rsidRPr="0092613E" w:rsidTr="0092613E">
        <w:trPr>
          <w:trHeight w:val="1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2-3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 xml:space="preserve">教学改革意识强烈，能够主动运用新技术、新手段、新工 具，创新教学方法，提高教学效率、提升教学质量，教学 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 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能力有显著提升。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5分</w:t>
            </w:r>
          </w:p>
        </w:tc>
      </w:tr>
      <w:tr w:rsidR="0092613E" w:rsidRPr="0092613E" w:rsidTr="0092613E">
        <w:trPr>
          <w:trHeight w:val="315"/>
          <w:jc w:val="center"/>
        </w:trPr>
        <w:tc>
          <w:tcPr>
            <w:tcW w:w="7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三、课程内容与时俱进</w:t>
            </w:r>
            <w:r w:rsidRPr="0092613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 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20分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3-1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落实</w:t>
            </w:r>
            <w:proofErr w:type="gramStart"/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课程思政建设</w:t>
            </w:r>
            <w:proofErr w:type="gramEnd"/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要求，通过专业知识教育与思想政治教育的紧密融合，将价值塑造、知识传授和能力培养三者融为一体。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5分</w:t>
            </w:r>
          </w:p>
        </w:tc>
      </w:tr>
      <w:tr w:rsidR="0092613E" w:rsidRPr="0092613E" w:rsidTr="0092613E">
        <w:trPr>
          <w:trHeight w:val="1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3-2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体现前沿性与时代性要求，反映学科专业、行业先进的核心理论和成果，聚焦新工科、新医科、新农科、新文科建设，增加体现多学科思维融合、产业技术与学科理论融合、跨专业能力融合、多学科项目实践融合内容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10分</w:t>
            </w:r>
          </w:p>
        </w:tc>
      </w:tr>
      <w:tr w:rsidR="0092613E" w:rsidRPr="0092613E" w:rsidTr="0092613E">
        <w:trPr>
          <w:trHeight w:val="1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3-3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保障教学资源的优质性与适用性，以提升学生综合能力为重点，重塑课程内容。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5分</w:t>
            </w:r>
          </w:p>
        </w:tc>
      </w:tr>
      <w:tr w:rsidR="0092613E" w:rsidRPr="0092613E" w:rsidTr="0092613E">
        <w:trPr>
          <w:trHeight w:val="1245"/>
          <w:jc w:val="center"/>
        </w:trPr>
        <w:tc>
          <w:tcPr>
            <w:tcW w:w="7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四、教与</w:t>
            </w:r>
            <w:proofErr w:type="gramStart"/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学发生</w:t>
            </w:r>
            <w:proofErr w:type="gramEnd"/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改 变</w:t>
            </w:r>
            <w:r w:rsidRPr="0092613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 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15分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4-1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以教为中心向以学为中心转变，以提升教学效果为目的因材施教，运用适当的数字化教学工具，有效开展线下课堂教学活动。实施打破传统课堂“满堂灌”和沉默状态的方式方法，训练学生问题解决能力和</w:t>
            </w:r>
            <w:proofErr w:type="gramStart"/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审辩式</w:t>
            </w:r>
            <w:proofErr w:type="gramEnd"/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思维能力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10分</w:t>
            </w:r>
          </w:p>
        </w:tc>
      </w:tr>
      <w:tr w:rsidR="0092613E" w:rsidRPr="0092613E" w:rsidTr="0092613E">
        <w:trPr>
          <w:trHeight w:val="1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4-2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学生学习方式有显著变化，安排学生个别化学习与合作学习，强化课堂教学师生互动、生生互动环节，加强研究型、项目式学习。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5分</w:t>
            </w:r>
          </w:p>
        </w:tc>
      </w:tr>
      <w:tr w:rsidR="0092613E" w:rsidRPr="0092613E" w:rsidTr="0092613E">
        <w:trPr>
          <w:trHeight w:val="930"/>
          <w:jc w:val="center"/>
        </w:trPr>
        <w:tc>
          <w:tcPr>
            <w:tcW w:w="7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lastRenderedPageBreak/>
              <w:t>五、评价拓展深化</w:t>
            </w:r>
          </w:p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15分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5-1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考核方式多元，丰富探究式、论文式、报告答辩式等作业评价方式，加强非标准化、综合性等评价，评价手段恰当必要，契合相对应的人才培养类型。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5分</w:t>
            </w:r>
          </w:p>
        </w:tc>
      </w:tr>
      <w:tr w:rsidR="0092613E" w:rsidRPr="0092613E" w:rsidTr="0092613E">
        <w:trPr>
          <w:trHeight w:val="1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5-2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考试考核评价严格，体现过程评价，注重学习效果评价，考核考试评价严格，过程可回溯，诊断改进积极有效。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10分</w:t>
            </w:r>
          </w:p>
        </w:tc>
      </w:tr>
      <w:tr w:rsidR="0092613E" w:rsidRPr="0092613E" w:rsidTr="0092613E">
        <w:trPr>
          <w:trHeight w:val="150"/>
          <w:jc w:val="center"/>
        </w:trPr>
        <w:tc>
          <w:tcPr>
            <w:tcW w:w="7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六、改革行之有效</w:t>
            </w:r>
          </w:p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20分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6-1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学习效果提升，学生对课程的参与度、学习获得感、对教师教学以及课程的满意度有明显提高。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5分</w:t>
            </w:r>
          </w:p>
        </w:tc>
      </w:tr>
      <w:tr w:rsidR="0092613E" w:rsidRPr="0092613E" w:rsidTr="0092613E">
        <w:trPr>
          <w:trHeight w:val="1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6-2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改革迭代优化，有意识地收集数据开展教学反思、教学研究和教学改进。在多期混合式教学中进行迭 代，不断优化教学的设计和实施。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5分</w:t>
            </w:r>
          </w:p>
        </w:tc>
      </w:tr>
      <w:tr w:rsidR="0092613E" w:rsidRPr="0092613E" w:rsidTr="0092613E">
        <w:trPr>
          <w:trHeight w:val="1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6-3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学校对探索应用智慧教室等信息化教学工具开展线下课程改革、应用信息化手段开展教学管理与质量 监控有配套条件或机制支持。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5分</w:t>
            </w:r>
          </w:p>
        </w:tc>
      </w:tr>
      <w:tr w:rsidR="0092613E" w:rsidRPr="0092613E" w:rsidTr="0092613E">
        <w:trPr>
          <w:trHeight w:val="1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6-4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 xml:space="preserve">较好地解决了传统教学中的短板问题。在树立课程建设新理念、推进相应类型高校课程改革创新、提 </w:t>
            </w:r>
            <w:proofErr w:type="gramStart"/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升教学</w:t>
            </w:r>
            <w:proofErr w:type="gramEnd"/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效果方面显示了明显优势，具有推广价值。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5分</w:t>
            </w:r>
          </w:p>
        </w:tc>
      </w:tr>
    </w:tbl>
    <w:p w:rsidR="0092613E" w:rsidRPr="0092613E" w:rsidRDefault="0092613E" w:rsidP="0092613E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92613E">
        <w:rPr>
          <w:rFonts w:ascii="仿宋_GB2312" w:eastAsia="仿宋_GB2312" w:hAnsi="Calibri" w:cs="Calibri" w:hint="eastAsia"/>
          <w:b/>
          <w:bCs/>
          <w:color w:val="333333"/>
          <w:kern w:val="0"/>
          <w:sz w:val="30"/>
          <w:szCs w:val="30"/>
        </w:rPr>
        <w:t>三、线上线下混合式一流课程评审指标</w:t>
      </w:r>
    </w:p>
    <w:p w:rsidR="0092613E" w:rsidRPr="0092613E" w:rsidRDefault="0092613E" w:rsidP="0092613E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92613E">
        <w:rPr>
          <w:rFonts w:ascii="仿宋_GB2312" w:eastAsia="仿宋_GB2312" w:hAnsi="Calibri" w:cs="Calibri" w:hint="eastAsia"/>
          <w:b/>
          <w:bCs/>
          <w:color w:val="333333"/>
          <w:spacing w:val="15"/>
          <w:kern w:val="0"/>
          <w:sz w:val="24"/>
          <w:szCs w:val="24"/>
        </w:rPr>
        <w:t>1否决性指标</w:t>
      </w:r>
    </w:p>
    <w:tbl>
      <w:tblPr>
        <w:tblW w:w="841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7155"/>
      </w:tblGrid>
      <w:tr w:rsidR="0092613E" w:rsidRPr="0092613E" w:rsidTr="0092613E">
        <w:trPr>
          <w:trHeight w:val="315"/>
          <w:jc w:val="center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7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细则</w:t>
            </w:r>
          </w:p>
        </w:tc>
      </w:tr>
      <w:tr w:rsidR="0092613E" w:rsidRPr="0092613E" w:rsidTr="0092613E">
        <w:trPr>
          <w:trHeight w:val="1860"/>
          <w:jc w:val="center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课程资质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 xml:space="preserve">1、非本科学分课程 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 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查看教务系统提供的截图</w:t>
            </w:r>
          </w:p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 xml:space="preserve">2、开设时间或期数不符合申报要求 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 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申报截止日期前未 完成至少两个完整的教学学期或周期（查看教务系统截图）</w:t>
            </w:r>
          </w:p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 xml:space="preserve">3、开设时间或期数不符合申报要求 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 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申报截止日期前未 完成至少两个完整的教学学期或周期（查看教务系统截图）</w:t>
            </w:r>
          </w:p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 xml:space="preserve">4、申报材料不齐备，缺少必须提供的关键材料 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 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查看 是否缺少申报书中的“七、附件材料清单中的1-6项”的某项材料。</w:t>
            </w:r>
          </w:p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5、课程与推荐申报类型不符（查看是否属于本人或他人的慕课、SPOC或其他在线课程开展线上线下混合式教学）。</w:t>
            </w:r>
          </w:p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6、课程线上资源无法打开（查看课程链接提供的链接）。</w:t>
            </w:r>
          </w:p>
        </w:tc>
      </w:tr>
      <w:tr w:rsidR="0092613E" w:rsidRPr="0092613E" w:rsidTr="0092613E">
        <w:trPr>
          <w:trHeight w:val="630"/>
          <w:jc w:val="center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课程内容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1、线上资源选择随意，课程质量差，不符合教学目标要求。</w:t>
            </w:r>
          </w:p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2、线上课程教学安排不符合“安排20%-50%的线上 学生自主学习的基本要求” 。</w:t>
            </w:r>
          </w:p>
        </w:tc>
      </w:tr>
      <w:tr w:rsidR="0092613E" w:rsidRPr="0092613E" w:rsidTr="0092613E">
        <w:trPr>
          <w:trHeight w:val="615"/>
          <w:jc w:val="center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教师资格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1、负责人非申报高校正式聘任教师查看“二、课程团队序号1的成员”及其他申报材料</w:t>
            </w:r>
          </w:p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 xml:space="preserve">2、团队成员存在师德师风方面问题查看 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 </w:t>
            </w:r>
            <w:r w:rsidRPr="0092613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 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“十、学校政治审查意见”，根据专家掌握的信息</w:t>
            </w:r>
          </w:p>
        </w:tc>
      </w:tr>
      <w:tr w:rsidR="0092613E" w:rsidRPr="0092613E" w:rsidTr="0092613E">
        <w:trPr>
          <w:trHeight w:val="630"/>
          <w:jc w:val="center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课程内容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 xml:space="preserve">1、存在思想性或较严重的科学性问题 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 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专家审查</w:t>
            </w:r>
          </w:p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 xml:space="preserve">2、课程内容涉密 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 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对比提交材料</w:t>
            </w:r>
          </w:p>
        </w:tc>
      </w:tr>
      <w:tr w:rsidR="0092613E" w:rsidRPr="0092613E" w:rsidTr="0092613E">
        <w:trPr>
          <w:trHeight w:val="630"/>
          <w:jc w:val="center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造假、侵权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 xml:space="preserve">1、申报材料造假 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 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对比提交材料，或举报属实</w:t>
            </w:r>
          </w:p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 xml:space="preserve">2、发现且确认有侵权现象对比提交材料， 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 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或举报属实</w:t>
            </w:r>
          </w:p>
        </w:tc>
      </w:tr>
    </w:tbl>
    <w:p w:rsidR="0092613E" w:rsidRPr="0092613E" w:rsidRDefault="0092613E" w:rsidP="0092613E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92613E">
        <w:rPr>
          <w:rFonts w:ascii="仿宋_GB2312" w:eastAsia="仿宋_GB2312" w:hAnsi="Calibri" w:cs="Calibri" w:hint="eastAsia"/>
          <w:b/>
          <w:bCs/>
          <w:color w:val="333333"/>
          <w:spacing w:val="15"/>
          <w:kern w:val="0"/>
          <w:sz w:val="24"/>
          <w:szCs w:val="24"/>
        </w:rPr>
        <w:t>2评审指标细则</w:t>
      </w:r>
    </w:p>
    <w:tbl>
      <w:tblPr>
        <w:tblW w:w="84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"/>
        <w:gridCol w:w="465"/>
        <w:gridCol w:w="6278"/>
        <w:gridCol w:w="623"/>
      </w:tblGrid>
      <w:tr w:rsidR="0092613E" w:rsidRPr="0092613E" w:rsidTr="0092613E">
        <w:trPr>
          <w:trHeight w:val="150"/>
          <w:jc w:val="center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4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二级指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lastRenderedPageBreak/>
              <w:t>标</w:t>
            </w:r>
          </w:p>
        </w:tc>
        <w:tc>
          <w:tcPr>
            <w:tcW w:w="6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lastRenderedPageBreak/>
              <w:t>观测点及描述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分值</w:t>
            </w:r>
          </w:p>
        </w:tc>
      </w:tr>
      <w:tr w:rsidR="0092613E" w:rsidRPr="0092613E" w:rsidTr="0092613E">
        <w:trPr>
          <w:trHeight w:val="150"/>
          <w:jc w:val="center"/>
        </w:trPr>
        <w:tc>
          <w:tcPr>
            <w:tcW w:w="10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lastRenderedPageBreak/>
              <w:t>一、课程目标 符合新时代人 才培养要求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 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15分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1-1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符合学校办学定位和人才培养目标，坚持立德树人。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5分</w:t>
            </w:r>
          </w:p>
        </w:tc>
      </w:tr>
      <w:tr w:rsidR="0092613E" w:rsidRPr="0092613E" w:rsidTr="0092613E">
        <w:trPr>
          <w:trHeight w:val="1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1-2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坚持知识、能力、素质有机融合，注重提升课程的高阶性、突出课程 的创新性、增加课程的挑战度，契合学生解决复杂问题等综合能力养成要求。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5分</w:t>
            </w:r>
          </w:p>
        </w:tc>
      </w:tr>
      <w:tr w:rsidR="0092613E" w:rsidRPr="0092613E" w:rsidTr="0092613E">
        <w:trPr>
          <w:trHeight w:val="1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1-3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目标描述准确具体，对应国家、行业、专业需求，符合培养规律，符合校情、学情，达成路径清晰，便于考核评价。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5分</w:t>
            </w:r>
          </w:p>
        </w:tc>
      </w:tr>
      <w:tr w:rsidR="0092613E" w:rsidRPr="0092613E" w:rsidTr="0092613E">
        <w:trPr>
          <w:trHeight w:val="150"/>
          <w:jc w:val="center"/>
        </w:trPr>
        <w:tc>
          <w:tcPr>
            <w:tcW w:w="10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二、授课教师（团队） 切实投入教学改革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 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15分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2-1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秉持学生中心、产出导向、持续改进的理念。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5分</w:t>
            </w:r>
          </w:p>
        </w:tc>
      </w:tr>
      <w:tr w:rsidR="0092613E" w:rsidRPr="0092613E" w:rsidTr="0092613E">
        <w:trPr>
          <w:trHeight w:val="1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2-2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教学理念融入教学设计，围绕目标达成、教学内容、组织 实施和多元评价需求进行整体规划，教学策略、教学方法 教学过程、教学评价等设计合理。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5分</w:t>
            </w:r>
          </w:p>
        </w:tc>
      </w:tr>
      <w:tr w:rsidR="0092613E" w:rsidRPr="0092613E" w:rsidTr="0092613E">
        <w:trPr>
          <w:trHeight w:val="1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2-3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教学改革意识强烈，能够主动运用新技术，创新教学方法提高教学效率、提升教学质量，教学能力有显著提升。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5分</w:t>
            </w:r>
          </w:p>
        </w:tc>
      </w:tr>
      <w:tr w:rsidR="0092613E" w:rsidRPr="0092613E" w:rsidTr="0092613E">
        <w:trPr>
          <w:trHeight w:val="150"/>
          <w:jc w:val="center"/>
        </w:trPr>
        <w:tc>
          <w:tcPr>
            <w:tcW w:w="10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三、课程内容与时俱进</w:t>
            </w:r>
            <w:r w:rsidRPr="0092613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 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20分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3-1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落实</w:t>
            </w:r>
            <w:proofErr w:type="gramStart"/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课程思政建设</w:t>
            </w:r>
            <w:proofErr w:type="gramEnd"/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要求，通过专业知识教育与思想政治教育的紧密融合，将价值塑造、知识传授和能力培养三者融为一体。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5分</w:t>
            </w:r>
          </w:p>
        </w:tc>
      </w:tr>
      <w:tr w:rsidR="0092613E" w:rsidRPr="0092613E" w:rsidTr="0092613E">
        <w:trPr>
          <w:trHeight w:val="1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3-2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体现前沿性与时代性要求，反映学科专业、行业先进的核心 理论和成果，聚焦新工科、新医科、新农科、新文科建设，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 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增加体现多学科思维融合、产业技术与学科理论融合、</w:t>
            </w:r>
            <w:proofErr w:type="gramStart"/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跨专</w:t>
            </w:r>
            <w:proofErr w:type="gramEnd"/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 xml:space="preserve"> 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 </w:t>
            </w:r>
            <w:proofErr w:type="gramStart"/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业能力</w:t>
            </w:r>
            <w:proofErr w:type="gramEnd"/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融合、多学科项目实践融合内容。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10分</w:t>
            </w:r>
          </w:p>
        </w:tc>
      </w:tr>
      <w:tr w:rsidR="0092613E" w:rsidRPr="0092613E" w:rsidTr="0092613E">
        <w:trPr>
          <w:trHeight w:val="1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3-3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保障教学资源的优质性与适用性，优先选择国家级和省级精品在线开放课程等高质量在线课程资源，结合本校实际对课程内容进行优化，线上、线下内容互补，充分体现混合式优势。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5分</w:t>
            </w:r>
          </w:p>
        </w:tc>
      </w:tr>
      <w:tr w:rsidR="0092613E" w:rsidRPr="0092613E" w:rsidTr="0092613E">
        <w:trPr>
          <w:trHeight w:val="150"/>
          <w:jc w:val="center"/>
        </w:trPr>
        <w:tc>
          <w:tcPr>
            <w:tcW w:w="10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四、教与</w:t>
            </w:r>
            <w:proofErr w:type="gramStart"/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学发生</w:t>
            </w:r>
            <w:proofErr w:type="gramEnd"/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改</w:t>
            </w:r>
          </w:p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变15分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4-1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 xml:space="preserve">以教为中心向以学为中心转变，符合“安排20-50%的教学时间实施学生线上自主学习”基本要求，以提升教学效果为目的，因材施教，运用适当的数字化教学工具创新教学方式方法，有效开展线上与线下密切衔接的全 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 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过程教学活动。实施打破传统课堂“满堂灌”和沉默状态 的方式方法，训练学生问题解决能力和</w:t>
            </w:r>
            <w:proofErr w:type="gramStart"/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审辩式</w:t>
            </w:r>
            <w:proofErr w:type="gramEnd"/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思维能力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10分</w:t>
            </w:r>
          </w:p>
        </w:tc>
      </w:tr>
      <w:tr w:rsidR="0092613E" w:rsidRPr="0092613E" w:rsidTr="0092613E">
        <w:trPr>
          <w:trHeight w:val="1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4-2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学生学习方式有显著变化，安排学生个别化学习与合作学习，强化课堂教学师生互动、生生互动环节，加强研究型、项目式学习。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5分</w:t>
            </w:r>
          </w:p>
        </w:tc>
      </w:tr>
      <w:tr w:rsidR="0092613E" w:rsidRPr="0092613E" w:rsidTr="0092613E">
        <w:trPr>
          <w:trHeight w:val="150"/>
          <w:jc w:val="center"/>
        </w:trPr>
        <w:tc>
          <w:tcPr>
            <w:tcW w:w="10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五、评价拓展深化</w:t>
            </w:r>
          </w:p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15分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5-1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考核方式多元，丰富探究式、论文式、报告答辩式等作业评价方式，加强非标准化、综合性等评价，评价手段恰当必要，契合相对应的人才培养类型。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5分</w:t>
            </w:r>
          </w:p>
        </w:tc>
      </w:tr>
      <w:tr w:rsidR="0092613E" w:rsidRPr="0092613E" w:rsidTr="0092613E">
        <w:trPr>
          <w:trHeight w:val="1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5-2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考试考核评价严格，体现过程评价，注重学习效果评价。学生线上自主学习、作业和测试等评价与参加线下教学活动的评价连贯完整，过程可回溯，诊断改进积极有效。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10分</w:t>
            </w:r>
          </w:p>
        </w:tc>
      </w:tr>
      <w:tr w:rsidR="0092613E" w:rsidRPr="0092613E" w:rsidTr="0092613E">
        <w:trPr>
          <w:trHeight w:val="150"/>
          <w:jc w:val="center"/>
        </w:trPr>
        <w:tc>
          <w:tcPr>
            <w:tcW w:w="10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六、改革行之有效</w:t>
            </w:r>
          </w:p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20分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6-1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学习效果提升，学生对课程的参与度、学习获得感、对教师教学以及课程的满意度有明显提高。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5分</w:t>
            </w:r>
          </w:p>
        </w:tc>
      </w:tr>
      <w:tr w:rsidR="0092613E" w:rsidRPr="0092613E" w:rsidTr="0092613E">
        <w:trPr>
          <w:trHeight w:val="1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6-2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改革迭代优化，有意识地收集数据开展教学反思、教学研究和教学改进。在多期混合式教学中进行迭 代，不断优化教学的设计和实施。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5分</w:t>
            </w:r>
          </w:p>
        </w:tc>
      </w:tr>
      <w:tr w:rsidR="0092613E" w:rsidRPr="0092613E" w:rsidTr="0092613E">
        <w:trPr>
          <w:trHeight w:val="150"/>
          <w:jc w:val="center"/>
        </w:trPr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六、改革</w:t>
            </w:r>
          </w:p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行之有效</w:t>
            </w:r>
          </w:p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20分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6-3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学校对线上线下混合式教学有合理的工作量计算机制、教学管理与质量监控机制等配套支持，并不断 完善。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5分</w:t>
            </w:r>
          </w:p>
        </w:tc>
      </w:tr>
      <w:tr w:rsidR="0092613E" w:rsidRPr="0092613E" w:rsidTr="0092613E">
        <w:trPr>
          <w:trHeight w:val="1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6-4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 xml:space="preserve">较好地解决了传统教学中的短板问题。在树立课程建设新理念、推进相应类型高校课程改革创新、提 </w:t>
            </w:r>
            <w:proofErr w:type="gramStart"/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升教学</w:t>
            </w:r>
            <w:proofErr w:type="gramEnd"/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效果方面显示了明显优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lastRenderedPageBreak/>
              <w:t>势，具有推广价值。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lastRenderedPageBreak/>
              <w:t>5分</w:t>
            </w:r>
          </w:p>
        </w:tc>
      </w:tr>
    </w:tbl>
    <w:p w:rsidR="0092613E" w:rsidRDefault="0092613E" w:rsidP="0092613E">
      <w:pPr>
        <w:widowControl/>
        <w:shd w:val="clear" w:color="auto" w:fill="FFFFFF"/>
        <w:rPr>
          <w:rFonts w:ascii="仿宋_GB2312" w:eastAsia="仿宋_GB2312" w:hAnsi="Calibri" w:cs="Calibri" w:hint="eastAsia"/>
          <w:b/>
          <w:bCs/>
          <w:color w:val="333333"/>
          <w:kern w:val="0"/>
          <w:sz w:val="30"/>
          <w:szCs w:val="30"/>
        </w:rPr>
      </w:pPr>
    </w:p>
    <w:p w:rsidR="0092613E" w:rsidRDefault="0092613E" w:rsidP="0092613E">
      <w:pPr>
        <w:widowControl/>
        <w:shd w:val="clear" w:color="auto" w:fill="FFFFFF"/>
        <w:rPr>
          <w:rFonts w:ascii="仿宋_GB2312" w:eastAsia="仿宋_GB2312" w:hAnsi="Calibri" w:cs="Calibri" w:hint="eastAsia"/>
          <w:b/>
          <w:bCs/>
          <w:color w:val="333333"/>
          <w:kern w:val="0"/>
          <w:sz w:val="30"/>
          <w:szCs w:val="30"/>
        </w:rPr>
      </w:pPr>
    </w:p>
    <w:p w:rsidR="0092613E" w:rsidRPr="0092613E" w:rsidRDefault="0092613E" w:rsidP="0092613E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92613E">
        <w:rPr>
          <w:rFonts w:ascii="仿宋_GB2312" w:eastAsia="仿宋_GB2312" w:hAnsi="Calibri" w:cs="Calibri" w:hint="eastAsia"/>
          <w:b/>
          <w:bCs/>
          <w:color w:val="333333"/>
          <w:kern w:val="0"/>
          <w:sz w:val="30"/>
          <w:szCs w:val="30"/>
        </w:rPr>
        <w:t>四、虚拟仿真一流课程评审指标</w:t>
      </w:r>
    </w:p>
    <w:tbl>
      <w:tblPr>
        <w:tblW w:w="838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570"/>
        <w:gridCol w:w="2009"/>
        <w:gridCol w:w="5188"/>
      </w:tblGrid>
      <w:tr w:rsidR="0092613E" w:rsidRPr="0092613E" w:rsidTr="0092613E">
        <w:trPr>
          <w:trHeight w:val="630"/>
          <w:jc w:val="center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重百分比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2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51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观察点</w:t>
            </w:r>
          </w:p>
        </w:tc>
      </w:tr>
      <w:tr w:rsidR="0092613E" w:rsidRPr="0092613E" w:rsidTr="0092613E">
        <w:trPr>
          <w:trHeight w:val="615"/>
          <w:jc w:val="center"/>
        </w:trPr>
        <w:tc>
          <w:tcPr>
            <w:tcW w:w="6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一、应用强度矩阵</w:t>
            </w:r>
            <w:r w:rsidRPr="0092613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 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30分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应用强度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实验教学信息化总体规划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1、实验教学总体规划方案中有关信息化的描述；</w:t>
            </w:r>
          </w:p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2、实验教学信息化中有关虚拟仿真的描述；</w:t>
            </w:r>
          </w:p>
        </w:tc>
      </w:tr>
      <w:tr w:rsidR="0092613E" w:rsidRPr="0092613E" w:rsidTr="0092613E">
        <w:trPr>
          <w:trHeight w:val="1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35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虚拟实验在实验教学课程体系中的位置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1、实验课程在整个课程体系中所占比例；</w:t>
            </w:r>
          </w:p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2、实验课程对主干基础课的支撑程度；</w:t>
            </w:r>
          </w:p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3、虚拟实验在实验课程中所占比例；</w:t>
            </w:r>
          </w:p>
          <w:p w:rsidR="0092613E" w:rsidRPr="0092613E" w:rsidRDefault="0092613E" w:rsidP="0092613E">
            <w:pPr>
              <w:widowControl/>
              <w:spacing w:line="135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4、虚拟实验的学习刚性（必修还是选修）</w:t>
            </w:r>
          </w:p>
        </w:tc>
      </w:tr>
      <w:tr w:rsidR="0092613E" w:rsidRPr="0092613E" w:rsidTr="0092613E">
        <w:trPr>
          <w:trHeight w:val="1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35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虚拟仿真项目在实验课程中发挥的作用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1、是否坚持</w:t>
            </w:r>
            <w:proofErr w:type="gramStart"/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了能实不虚</w:t>
            </w:r>
            <w:proofErr w:type="gramEnd"/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的原则；</w:t>
            </w:r>
          </w:p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2、是否实现了虚实结合；</w:t>
            </w:r>
          </w:p>
          <w:p w:rsidR="0092613E" w:rsidRPr="0092613E" w:rsidRDefault="0092613E" w:rsidP="0092613E">
            <w:pPr>
              <w:widowControl/>
              <w:spacing w:line="135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3、项目完成情况如何认定实验成绩；</w:t>
            </w:r>
          </w:p>
        </w:tc>
      </w:tr>
      <w:tr w:rsidR="0092613E" w:rsidRPr="0092613E" w:rsidTr="0092613E">
        <w:trPr>
          <w:trHeight w:val="1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35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虚拟仿真实验对原有教学形式的影响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1、是否提高了原有线下实验的效率；</w:t>
            </w:r>
          </w:p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2、是否增强了原有线下实验的效果</w:t>
            </w:r>
          </w:p>
          <w:p w:rsidR="0092613E" w:rsidRPr="0092613E" w:rsidRDefault="0092613E" w:rsidP="0092613E">
            <w:pPr>
              <w:widowControl/>
              <w:spacing w:line="135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3、是否实现了线上线下相结合。</w:t>
            </w:r>
          </w:p>
        </w:tc>
      </w:tr>
      <w:tr w:rsidR="0092613E" w:rsidRPr="0092613E" w:rsidTr="0092613E">
        <w:trPr>
          <w:trHeight w:val="315"/>
          <w:jc w:val="center"/>
        </w:trPr>
        <w:tc>
          <w:tcPr>
            <w:tcW w:w="6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二、应用广度矩阵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 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20分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应用广度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本专业应用项目的情况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1、必修课使用人数和学时数；2、选修课使用人数和学时数</w:t>
            </w:r>
          </w:p>
        </w:tc>
      </w:tr>
      <w:tr w:rsidR="0092613E" w:rsidRPr="0092613E" w:rsidTr="0092613E">
        <w:trPr>
          <w:trHeight w:val="1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35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本学科其他专业应用项目的情况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1、使用项目的专业数</w:t>
            </w:r>
          </w:p>
          <w:p w:rsidR="0092613E" w:rsidRPr="0092613E" w:rsidRDefault="0092613E" w:rsidP="0092613E">
            <w:pPr>
              <w:widowControl/>
              <w:spacing w:line="135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2、涉及的人数和学时数</w:t>
            </w:r>
          </w:p>
        </w:tc>
      </w:tr>
      <w:tr w:rsidR="0092613E" w:rsidRPr="0092613E" w:rsidTr="0092613E">
        <w:trPr>
          <w:trHeight w:val="1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35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本校应用项目的情况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35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1、是否由其他学科使用该项目；2、使用情况；</w:t>
            </w:r>
          </w:p>
        </w:tc>
      </w:tr>
      <w:tr w:rsidR="0092613E" w:rsidRPr="0092613E" w:rsidTr="0092613E">
        <w:trPr>
          <w:trHeight w:val="1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35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外校应用项目的情况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35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兄弟院校将该项目用于实验教学的情况</w:t>
            </w:r>
          </w:p>
        </w:tc>
      </w:tr>
      <w:tr w:rsidR="0092613E" w:rsidRPr="0092613E" w:rsidTr="0092613E">
        <w:trPr>
          <w:trHeight w:val="1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35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其他单位应用项目的情况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35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相关行业将该项目用于科普或员工 培训的情况</w:t>
            </w:r>
          </w:p>
        </w:tc>
      </w:tr>
      <w:tr w:rsidR="0092613E" w:rsidRPr="0092613E" w:rsidTr="0092613E">
        <w:trPr>
          <w:trHeight w:val="660"/>
          <w:jc w:val="center"/>
        </w:trPr>
        <w:tc>
          <w:tcPr>
            <w:tcW w:w="6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三、应用效度矩阵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 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30分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应用效度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虚拟实验填补实验教学空白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通过使用虚拟实验，填补了原有实验教学体 系的空白，更好的支撑了课堂教学</w:t>
            </w:r>
          </w:p>
        </w:tc>
      </w:tr>
      <w:tr w:rsidR="0092613E" w:rsidRPr="0092613E" w:rsidTr="0092613E">
        <w:trPr>
          <w:trHeight w:val="1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35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虚拟实验优化原有实验教学 环节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 xml:space="preserve">1、通过使用虚拟实验，提高了原实验教学环节 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 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的效率；</w:t>
            </w:r>
          </w:p>
          <w:p w:rsidR="0092613E" w:rsidRPr="0092613E" w:rsidRDefault="0092613E" w:rsidP="0092613E">
            <w:pPr>
              <w:widowControl/>
              <w:spacing w:line="135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 xml:space="preserve">2、通过使用虚拟实验，丰富了教学手段，拓展 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 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课学生动手能力培养方式</w:t>
            </w:r>
          </w:p>
        </w:tc>
      </w:tr>
      <w:tr w:rsidR="0092613E" w:rsidRPr="0092613E" w:rsidTr="0092613E">
        <w:trPr>
          <w:trHeight w:val="1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35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虚拟实验的实际教学效果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 xml:space="preserve">1、通过虚拟实验，学生对理论教学知识点的掌 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 </w:t>
            </w:r>
            <w:proofErr w:type="gramStart"/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握是否</w:t>
            </w:r>
            <w:proofErr w:type="gramEnd"/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得到加强；</w:t>
            </w:r>
          </w:p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2、通过虚拟实验，学生对实验原理、流程和操作是否有效的掌握和模拟训练；</w:t>
            </w:r>
          </w:p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3、通过虚拟实验，对学生综合分析问题和解决问题能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lastRenderedPageBreak/>
              <w:t>力的培养效果</w:t>
            </w:r>
          </w:p>
          <w:p w:rsidR="0092613E" w:rsidRPr="0092613E" w:rsidRDefault="0092613E" w:rsidP="0092613E">
            <w:pPr>
              <w:widowControl/>
              <w:spacing w:line="135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4、学生评价与反馈；</w:t>
            </w:r>
          </w:p>
        </w:tc>
      </w:tr>
      <w:tr w:rsidR="0092613E" w:rsidRPr="0092613E" w:rsidTr="0092613E">
        <w:trPr>
          <w:trHeight w:val="630"/>
          <w:jc w:val="center"/>
        </w:trPr>
        <w:tc>
          <w:tcPr>
            <w:tcW w:w="6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lastRenderedPageBreak/>
              <w:t>四、保障机制矩阵</w:t>
            </w:r>
            <w:r w:rsidRPr="0092613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 </w:t>
            </w: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20分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保障机制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应用与服务团队建设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是否有稳定的团队负责项目的开发与持续建设，力 量是否充足，是否具有多元化的背景，分工是否明确。</w:t>
            </w:r>
          </w:p>
        </w:tc>
      </w:tr>
      <w:tr w:rsidR="0092613E" w:rsidRPr="0092613E" w:rsidTr="0092613E">
        <w:trPr>
          <w:trHeight w:val="1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35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政策性支撑措施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1、对虚拟仿真项目建设的持续投入；</w:t>
            </w:r>
          </w:p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2、对学生使用虚拟项目是否有学分或学时认定；</w:t>
            </w:r>
          </w:p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3、对教师参与开发和持续建设虚拟项目是否计算工作量；</w:t>
            </w:r>
          </w:p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4、项目认定或应用过程中取得的成绩如何认可。</w:t>
            </w:r>
          </w:p>
          <w:p w:rsidR="0092613E" w:rsidRPr="0092613E" w:rsidRDefault="0092613E" w:rsidP="0092613E">
            <w:pPr>
              <w:widowControl/>
              <w:spacing w:line="135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5、学分互认机制；</w:t>
            </w:r>
          </w:p>
        </w:tc>
      </w:tr>
      <w:tr w:rsidR="0092613E" w:rsidRPr="0092613E" w:rsidTr="0092613E">
        <w:trPr>
          <w:trHeight w:val="1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13E" w:rsidRPr="0092613E" w:rsidRDefault="0092613E" w:rsidP="0092613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35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服务性保障措施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613E" w:rsidRPr="0092613E" w:rsidRDefault="0092613E" w:rsidP="0092613E">
            <w:pPr>
              <w:widowControl/>
              <w:spacing w:line="135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92613E">
              <w:rPr>
                <w:rFonts w:ascii="仿宋_GB2312" w:eastAsia="仿宋_GB2312" w:hAnsi="Calibri" w:cs="Calibri" w:hint="eastAsia"/>
                <w:color w:val="000000"/>
                <w:kern w:val="0"/>
                <w:szCs w:val="21"/>
              </w:rPr>
              <w:t>鼓励项目应用和共享服务的激励措施，包括收费和成本补偿机制，人员激励等；</w:t>
            </w:r>
          </w:p>
        </w:tc>
      </w:tr>
    </w:tbl>
    <w:p w:rsidR="00840A85" w:rsidRPr="0092613E" w:rsidRDefault="00840A85"/>
    <w:sectPr w:rsidR="00840A85" w:rsidRPr="00926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3E"/>
    <w:rsid w:val="000C2131"/>
    <w:rsid w:val="00305701"/>
    <w:rsid w:val="00692796"/>
    <w:rsid w:val="008344DE"/>
    <w:rsid w:val="00840A85"/>
    <w:rsid w:val="0092613E"/>
    <w:rsid w:val="00F8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613E"/>
    <w:rPr>
      <w:b/>
      <w:bCs/>
    </w:rPr>
  </w:style>
  <w:style w:type="paragraph" w:styleId="a4">
    <w:name w:val="Normal (Web)"/>
    <w:basedOn w:val="a"/>
    <w:uiPriority w:val="99"/>
    <w:unhideWhenUsed/>
    <w:rsid w:val="009261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613E"/>
    <w:rPr>
      <w:b/>
      <w:bCs/>
    </w:rPr>
  </w:style>
  <w:style w:type="paragraph" w:styleId="a4">
    <w:name w:val="Normal (Web)"/>
    <w:basedOn w:val="a"/>
    <w:uiPriority w:val="99"/>
    <w:unhideWhenUsed/>
    <w:rsid w:val="009261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1063</Words>
  <Characters>6062</Characters>
  <Application>Microsoft Office Word</Application>
  <DocSecurity>0</DocSecurity>
  <Lines>50</Lines>
  <Paragraphs>14</Paragraphs>
  <ScaleCrop>false</ScaleCrop>
  <Company>神州网信技术有限公司</Company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专业建设科</dc:creator>
  <cp:lastModifiedBy>专业建设科</cp:lastModifiedBy>
  <cp:revision>1</cp:revision>
  <dcterms:created xsi:type="dcterms:W3CDTF">2021-05-12T08:09:00Z</dcterms:created>
  <dcterms:modified xsi:type="dcterms:W3CDTF">2021-05-12T08:11:00Z</dcterms:modified>
</cp:coreProperties>
</file>